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0E418B" w:rsidP="000E418B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0E418B">
        <w:rPr>
          <w:rFonts w:ascii="Arial" w:eastAsia="黑体" w:hAnsi="Arial" w:cs="Arial" w:hint="eastAsia"/>
          <w:b/>
          <w:color w:val="1F497D"/>
          <w:sz w:val="44"/>
          <w:szCs w:val="44"/>
        </w:rPr>
        <w:t>政企大客户关系营销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0E418B">
              <w:rPr>
                <w:rFonts w:hint="eastAsia"/>
              </w:rPr>
              <w:t>2024</w:t>
            </w:r>
            <w:r w:rsidR="000E418B">
              <w:rPr>
                <w:rFonts w:hint="eastAsia"/>
              </w:rPr>
              <w:t>年</w:t>
            </w:r>
            <w:r w:rsidR="000E418B">
              <w:rPr>
                <w:rFonts w:hint="eastAsia"/>
              </w:rPr>
              <w:t>4</w:t>
            </w:r>
            <w:r w:rsidR="000E418B">
              <w:rPr>
                <w:rFonts w:hint="eastAsia"/>
              </w:rPr>
              <w:t>月</w:t>
            </w:r>
            <w:r w:rsidR="000E418B">
              <w:rPr>
                <w:rFonts w:hint="eastAsia"/>
              </w:rPr>
              <w:t>18-19</w:t>
            </w:r>
            <w:r w:rsidR="000E418B"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E418B">
              <w:rPr>
                <w:rFonts w:hint="eastAsia"/>
              </w:rPr>
              <w:t>王浩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0E418B">
              <w:rPr>
                <w:rFonts w:ascii="Arial" w:hAnsi="Arial" w:cs="Arial" w:hint="eastAsia"/>
                <w:szCs w:val="21"/>
              </w:rPr>
              <w:t>48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3303F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E418B" w:rsidRPr="000E418B">
              <w:rPr>
                <w:rFonts w:hint="eastAsia"/>
              </w:rPr>
              <w:t>营销总经理、销售总监、销售部门经理</w:t>
            </w:r>
            <w:r w:rsidR="000E418B" w:rsidRPr="000E418B">
              <w:rPr>
                <w:rFonts w:hint="eastAsia"/>
              </w:rPr>
              <w:t>,</w:t>
            </w:r>
            <w:r w:rsidR="000E418B" w:rsidRPr="000E418B">
              <w:rPr>
                <w:rFonts w:hint="eastAsia"/>
              </w:rPr>
              <w:t>大客户销售人员、项目销售人员、渠道销售人员等</w:t>
            </w:r>
            <w:r w:rsidR="000E418B" w:rsidRPr="000E418B">
              <w:rPr>
                <w:rFonts w:hint="eastAsia"/>
              </w:rPr>
              <w:t>,</w:t>
            </w:r>
            <w:r w:rsidR="000E418B" w:rsidRPr="000E418B">
              <w:rPr>
                <w:rFonts w:hint="eastAsia"/>
              </w:rPr>
              <w:t>处理政府、集团型企业、事业单位、军队关系的相关人员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0E418B" w:rsidRPr="00902106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0E418B" w:rsidRPr="00902106">
                <w:rPr>
                  <w:rStyle w:val="a6"/>
                  <w:rFonts w:ascii="Arial" w:hAnsi="Arial" w:cs="Arial" w:hint="eastAsia"/>
                  <w:szCs w:val="21"/>
                </w:rPr>
                <w:t>130.</w:t>
              </w:r>
              <w:r w:rsidR="000E418B" w:rsidRPr="00902106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课程亮点：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、案例丰富：我们的案例库有</w:t>
      </w:r>
      <w:r>
        <w:rPr>
          <w:rFonts w:hint="eastAsia"/>
        </w:rPr>
        <w:t>2000</w:t>
      </w:r>
      <w:r>
        <w:rPr>
          <w:rFonts w:hint="eastAsia"/>
        </w:rPr>
        <w:t>余个案例，且大多为原创的实战案例。同时，针对每个课程单元，我们均配有相应的案例。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、气氛活跃：课程的形式包含：案例讲解、分组讨论、角色扮演等，学员的参与积极性高，这使得整体的气氛非常活跃，相应地，学员的吸收率也得到保证。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、实用性强：老师从案例讲解开始，到技能总结收尾，让学员在启发过程中，掌握专业的销售方法和策略，学以致用，真正体现课程的实用性。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解决五类问题：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）客户分析：对客户行为和心理、客户组织内部的潜规则了解不深入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）关系策略：有的放矢地开展公关工作，避免陷入“关系陷阱”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）关系判断：不清楚双方的关系处于什么水平，因而，经常说错话、办错事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）公关效率：少花钱，多办事，而不是乱花钱，还办不成事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）闭环沟通：为公关而公关，没有任何意义。每次公关和沟通，都要产生成果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）销售领导：营销总经理、销售总监、销售部门经理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）销售人员：大客户销售人员、项目销售人员、渠道销售人员等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）公关人员：处理政府、集团型企业、事业单位、军队关系的相关人员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0E418B" w:rsidRDefault="000E418B" w:rsidP="000E418B">
      <w:pPr>
        <w:spacing w:after="0"/>
      </w:pPr>
      <w:r>
        <w:t xml:space="preserve"> 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第一讲</w:t>
      </w:r>
      <w:r>
        <w:rPr>
          <w:rFonts w:hint="eastAsia"/>
        </w:rPr>
        <w:t xml:space="preserve">  </w:t>
      </w:r>
      <w:r>
        <w:rPr>
          <w:rFonts w:hint="eastAsia"/>
        </w:rPr>
        <w:t>政企组织与角色心理分析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、政企组织结构与特征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政企组织的科层化结构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lastRenderedPageBreak/>
        <w:t>政企组织的职能分工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政企组织内部的权力关系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政企组织的七个特征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、政企组织行为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政企组织的五种典型行为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政企组织行为潜规则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领导的五种权力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、政企组织内部角色心理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内部角色心理的相关因素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十种典型的职场个性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第二讲</w:t>
      </w:r>
      <w:r>
        <w:rPr>
          <w:rFonts w:hint="eastAsia"/>
        </w:rPr>
        <w:t xml:space="preserve">  </w:t>
      </w:r>
      <w:r>
        <w:rPr>
          <w:rFonts w:hint="eastAsia"/>
        </w:rPr>
        <w:t>政企关系营销策略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、新常态下的关系营销认知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关系是成败的关键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反腐新政对政企客户的影响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、政企客户关系进程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政企客户的关系心态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政企客户关系进程曲线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、关系营销策略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关系营销特点及对策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关系营销推进的核心路径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关系营销六对策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、精益营销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精益营销行为理念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订单成功背后的关系逻辑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  <w:r>
        <w:rPr>
          <w:rFonts w:hint="eastAsia"/>
        </w:rPr>
        <w:tab/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第三讲</w:t>
      </w:r>
      <w:r>
        <w:rPr>
          <w:rFonts w:hint="eastAsia"/>
        </w:rPr>
        <w:t xml:space="preserve">  </w:t>
      </w:r>
      <w:r>
        <w:rPr>
          <w:rFonts w:hint="eastAsia"/>
        </w:rPr>
        <w:t>建立良好的第一印象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、确认关键人物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大客户内部角色分析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谁是关键人物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确认关键人物的方法与话术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、如何建立良好的第一印象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对拒绝保持平常心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用好客户的心理时间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重交友、轻推销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创造接触机会、诱敌深入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礼仪周到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移情式沟通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第四讲</w:t>
      </w:r>
      <w:r>
        <w:rPr>
          <w:rFonts w:hint="eastAsia"/>
        </w:rPr>
        <w:t xml:space="preserve">  </w:t>
      </w:r>
      <w:r>
        <w:rPr>
          <w:rFonts w:hint="eastAsia"/>
        </w:rPr>
        <w:t>建立好感和信任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、好感和信任是什么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好感和信任的几种典型表现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好感和信任的区别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、培养好感和信任的对策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感动客户的拜访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在客户现场的感人表现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做一个有品质的人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体现专业素养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借力关系的渊源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投人所好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从对方的兴趣点切入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激发倾诉欲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第五讲</w:t>
      </w:r>
      <w:r>
        <w:rPr>
          <w:rFonts w:hint="eastAsia"/>
        </w:rPr>
        <w:t xml:space="preserve">  </w:t>
      </w:r>
      <w:r>
        <w:rPr>
          <w:rFonts w:hint="eastAsia"/>
        </w:rPr>
        <w:t>建立私人情谊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、如何理解私人情谊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私人情谊是什么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私人情谊在客户关系进程中的位置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、约请的潜规则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如何顺利地请客户出来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饭局潜规则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宴请过程中的谈资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酒桌上的忌讳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、送礼的学问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送礼的“犯规动作”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送礼的时间点和场合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送礼的说辞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lastRenderedPageBreak/>
        <w:t>如何选择合适的礼物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、万水千山总是情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第六讲</w:t>
      </w:r>
      <w:r>
        <w:rPr>
          <w:rFonts w:hint="eastAsia"/>
        </w:rPr>
        <w:t xml:space="preserve">  </w:t>
      </w:r>
      <w:r>
        <w:rPr>
          <w:rFonts w:hint="eastAsia"/>
        </w:rPr>
        <w:t>建立内线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、内线的选择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选择内线的几个要点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内线的典型信号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照顾内线的多元化诉求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、搞掂内线的标准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确立内线的五个标准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确立内线的试探性沟通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桌面下交易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、和内线打配合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流程配合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客户内部关系配合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第七讲</w:t>
      </w:r>
      <w:r>
        <w:rPr>
          <w:rFonts w:hint="eastAsia"/>
        </w:rPr>
        <w:t xml:space="preserve">  </w:t>
      </w:r>
      <w:r>
        <w:rPr>
          <w:rFonts w:hint="eastAsia"/>
        </w:rPr>
        <w:t>建立关系网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、政企组织内外关系分析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政企组织内部的九大关系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政企组织内部的六种工作关系及特点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、编织关系网的“烹调”艺术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同科室关系的“拌”法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三角关系的“炒”法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多层网络关系的“调”法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新旧关系的“卤”法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关系链的“蒸”法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多年老关系的“炖”法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、培养高层关系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见高层领导的时机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与高层领导沟通的四个要点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公关高层领导的对策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案例分析……</w:t>
      </w:r>
    </w:p>
    <w:p w:rsidR="000E418B" w:rsidRDefault="000E418B" w:rsidP="000E418B">
      <w:pPr>
        <w:spacing w:after="0"/>
      </w:pP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讲师介绍：王浩老师</w:t>
      </w:r>
      <w:r>
        <w:rPr>
          <w:rFonts w:hint="eastAsia"/>
        </w:rPr>
        <w:t xml:space="preserve">  </w:t>
      </w:r>
      <w:r>
        <w:rPr>
          <w:rFonts w:hint="eastAsia"/>
        </w:rPr>
        <w:t>闭环管理｜闭环销售｜精益营销</w:t>
      </w:r>
    </w:p>
    <w:p w:rsidR="000E418B" w:rsidRDefault="000E418B" w:rsidP="000E418B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研究及产品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案例研究：</w:t>
      </w:r>
      <w:r>
        <w:rPr>
          <w:rFonts w:hint="eastAsia"/>
        </w:rPr>
        <w:t>3000</w:t>
      </w:r>
      <w:r>
        <w:rPr>
          <w:rFonts w:hint="eastAsia"/>
        </w:rPr>
        <w:t>多个管理及营销业务案例研究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理论创建：闭环管理、闭环销售、精益营销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培训产品：闭环管理系列课程、闭环销售系列课程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咨询产品：闭环管理系统、闭环销售系统（销售</w:t>
      </w:r>
      <w:r>
        <w:rPr>
          <w:rFonts w:hint="eastAsia"/>
        </w:rPr>
        <w:t>KPI</w:t>
      </w:r>
      <w:r>
        <w:rPr>
          <w:rFonts w:hint="eastAsia"/>
        </w:rPr>
        <w:t>↑）、精益营销系统（销量↑）</w:t>
      </w:r>
    </w:p>
    <w:p w:rsidR="000E418B" w:rsidRDefault="000E418B" w:rsidP="000E418B">
      <w:pPr>
        <w:spacing w:after="0"/>
      </w:pPr>
      <w:r>
        <w:t></w:t>
      </w:r>
      <w:r>
        <w:tab/>
      </w:r>
      <w:r>
        <w:rPr>
          <w:rFonts w:hint="eastAsia"/>
        </w:rPr>
        <w:t>出版专著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管理心理学专业：《驱动力》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B2B</w:t>
      </w:r>
      <w:r>
        <w:rPr>
          <w:rFonts w:hint="eastAsia"/>
        </w:rPr>
        <w:t>营销学专业：《大客户销售路线图》</w:t>
      </w:r>
    </w:p>
    <w:p w:rsidR="000E418B" w:rsidRDefault="000E418B" w:rsidP="000E418B">
      <w:pPr>
        <w:spacing w:after="0"/>
      </w:pPr>
      <w:r>
        <w:t></w:t>
      </w:r>
      <w:r>
        <w:tab/>
      </w:r>
      <w:r>
        <w:rPr>
          <w:rFonts w:hint="eastAsia"/>
        </w:rPr>
        <w:t>人生历练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职业经历：</w:t>
      </w:r>
      <w:r>
        <w:rPr>
          <w:rFonts w:hint="eastAsia"/>
        </w:rPr>
        <w:t>21</w:t>
      </w:r>
      <w:r>
        <w:rPr>
          <w:rFonts w:hint="eastAsia"/>
        </w:rPr>
        <w:t>年企业实践经验，带过</w:t>
      </w:r>
      <w:r>
        <w:rPr>
          <w:rFonts w:hint="eastAsia"/>
        </w:rPr>
        <w:t>11</w:t>
      </w:r>
      <w:r>
        <w:rPr>
          <w:rFonts w:hint="eastAsia"/>
        </w:rPr>
        <w:t>支团队，从事过</w:t>
      </w:r>
      <w:r>
        <w:rPr>
          <w:rFonts w:hint="eastAsia"/>
        </w:rPr>
        <w:t>8</w:t>
      </w:r>
      <w:r>
        <w:rPr>
          <w:rFonts w:hint="eastAsia"/>
        </w:rPr>
        <w:t>个行业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实战背景：省政府秘书、远东科技市场总监、翰林事业部总经理、摩托罗拉政府项目销售总监、智博科技集团执行总裁等职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专业背景：清华、北大总裁班客座教授；人保部全国就业培训技术指导中心《营销师》首席专家；华为、用友等企业大学的特聘专家</w:t>
      </w:r>
    </w:p>
    <w:p w:rsidR="000E418B" w:rsidRDefault="000E418B" w:rsidP="000E418B">
      <w:pPr>
        <w:spacing w:after="0"/>
      </w:pPr>
      <w:r>
        <w:t></w:t>
      </w:r>
      <w:r>
        <w:tab/>
      </w:r>
      <w:r>
        <w:rPr>
          <w:rFonts w:hint="eastAsia"/>
        </w:rPr>
        <w:t>三大系列课程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闭环管理：闭环管理策略、目标执行力、领导力、团队管理等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闭环销售：闭环销售管理、闭环销售技能、关系营销、谈判、投标运作、催收货款、渠道开发与管理等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精益营销：精益营销战略、精益营销策略、企业销量超速增长引擎等</w:t>
      </w:r>
    </w:p>
    <w:p w:rsidR="000E418B" w:rsidRDefault="000E418B" w:rsidP="000E418B">
      <w:pPr>
        <w:spacing w:after="0"/>
      </w:pPr>
      <w:r>
        <w:t></w:t>
      </w:r>
      <w:r>
        <w:tab/>
      </w:r>
      <w:r>
        <w:rPr>
          <w:rFonts w:hint="eastAsia"/>
        </w:rPr>
        <w:t>教学方法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案例教学法：</w:t>
      </w:r>
      <w:r>
        <w:rPr>
          <w:rFonts w:hint="eastAsia"/>
        </w:rPr>
        <w:t>3000</w:t>
      </w:r>
      <w:r>
        <w:rPr>
          <w:rFonts w:hint="eastAsia"/>
        </w:rPr>
        <w:t>多“场景案例”储备，针对企业需求和课程主题，针对性调用案例，互动分享、深度剖析，活跃课堂气氛，提高学员的参与度和吸收率。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成果教学法：提炼简洁实用的套路和工具，解决“实战问题”，直接改善学员的工作效率和业绩，大幅度提升培训转化率和学习收益。</w:t>
      </w:r>
    </w:p>
    <w:p w:rsidR="000E418B" w:rsidRDefault="000E418B" w:rsidP="000E418B">
      <w:pPr>
        <w:spacing w:after="0"/>
      </w:pPr>
      <w:r>
        <w:t></w:t>
      </w:r>
      <w:r>
        <w:tab/>
      </w:r>
      <w:r>
        <w:rPr>
          <w:rFonts w:hint="eastAsia"/>
        </w:rPr>
        <w:t>部分案例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工业品</w:t>
      </w:r>
      <w:r>
        <w:rPr>
          <w:rFonts w:hint="eastAsia"/>
        </w:rPr>
        <w:tab/>
      </w:r>
      <w:r>
        <w:rPr>
          <w:rFonts w:hint="eastAsia"/>
        </w:rPr>
        <w:t>海信集团、长城润滑油、东方电器、联泓集团、康得集团、动力源股份、南山集团、慧谷化学、宇明阀门、东标电子、昆仑海岸、冠利新材料、国瑞升科技、佳力高纤、红三叶集团、深圳振豪密封、圣万提注塑、天津瑞基化工、宝武集团梅山钢铁、昆明钢铁集团、龙腾特钢、豹驰集团、河北海贺胜利、青岛瑞智精密、圣戈班管道系统、柳道热流道系统有限公司、科惠工业材料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IT</w:t>
      </w:r>
      <w:r>
        <w:rPr>
          <w:rFonts w:hint="eastAsia"/>
        </w:rPr>
        <w:t>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系统集成</w:t>
      </w:r>
      <w:r>
        <w:rPr>
          <w:rFonts w:hint="eastAsia"/>
        </w:rPr>
        <w:tab/>
      </w:r>
      <w:r>
        <w:rPr>
          <w:rFonts w:hint="eastAsia"/>
        </w:rPr>
        <w:t>用友股份、新大陆、东软股份、长城信息、东方通科技、天融信、万里红科技、绿盟科技（亿塞通）、华宇信息、北斗导航、四维图新、中科宇图、中科遥数、中地数码、华夏科技、中企动力、龙图软件、北大软件工程、辰安伟业、万集科技、胜利油田软件、华旭金卡、泰德汇智、爱迪科森、曙光股份、东方飞扬、北京冠金利、北京互信互通、北控三兴、易美软通、世纪东方国铁、中地时空数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高科技</w:t>
      </w:r>
      <w:r>
        <w:rPr>
          <w:rFonts w:hint="eastAsia"/>
        </w:rPr>
        <w:tab/>
      </w:r>
      <w:r>
        <w:rPr>
          <w:rFonts w:hint="eastAsia"/>
        </w:rPr>
        <w:t>深圳力合微电子、新大陆、无锡奥特维、中车集团、北京交控、北京和利时、中国电子集团、武汉理工大学产业集团、天诚盛业、上海力信测量、世纪东方、武汉高德、方物科技、中标方圆、新亚天影、龙德时代、广东科密集团、中航华燕科技、星格测控技术、中科英泰信息技术、深圳通业科技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lastRenderedPageBreak/>
        <w:t>环保、节能、新能源</w:t>
      </w:r>
      <w:r>
        <w:rPr>
          <w:rFonts w:hint="eastAsia"/>
        </w:rPr>
        <w:tab/>
      </w:r>
      <w:r>
        <w:rPr>
          <w:rFonts w:hint="eastAsia"/>
        </w:rPr>
        <w:t>中石油、中海油、中持股份、永清环保、中节能集团、菲达环保、中科环能、碧水源、通源环境、路域生态、内蒙古环保投资集团、富通环境、爱土环境、现代环境、青岛佳明测控、硕人科技、中科实业、北京东润环能、高能时代、晓清环保、小黄狗环保、天合光能、中广核集团、浙能电力、清华太阳能、新奥燃气、合肥中盛绿色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电气、电力</w:t>
      </w:r>
      <w:r>
        <w:rPr>
          <w:rFonts w:hint="eastAsia"/>
        </w:rPr>
        <w:tab/>
      </w:r>
      <w:r>
        <w:rPr>
          <w:rFonts w:hint="eastAsia"/>
        </w:rPr>
        <w:t>南瑞集团、远东集团、长峰集团、普讯电力、中电普华、天泽电力、西班亚埃特罗斯、施耐德、欧姆龙、湘能科技、华呈基业、特变电工、力合微电子、煜邦电力、北京合众科技、许继电器、上海吉泰电子、新创四方、秦骊成套电器、浙能电力有限公司、北京电力、山西电力、神马电力、杭州光速集团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通讯</w:t>
      </w:r>
      <w:r>
        <w:rPr>
          <w:rFonts w:hint="eastAsia"/>
        </w:rPr>
        <w:tab/>
      </w:r>
      <w:r>
        <w:rPr>
          <w:rFonts w:hint="eastAsia"/>
        </w:rPr>
        <w:t>华为、中兴通讯、北京瑞斯康达、北京电信规划设计院、中通服咨询设计研究院、深圳华讯方舟、武汉烽火集团、广州阿尔创、中国移动、辽宁移动、广西移动、郑州移动、武汉电信、中国联通北京公司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互联网</w:t>
      </w:r>
      <w:r>
        <w:rPr>
          <w:rFonts w:hint="eastAsia"/>
        </w:rPr>
        <w:tab/>
      </w:r>
      <w:r>
        <w:rPr>
          <w:rFonts w:hint="eastAsia"/>
        </w:rPr>
        <w:t>美团、百度、百科互动、人人网、阿里巴巴、必联网、校易收、上海震坤行（工业品互联网）、京东商城、车友网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非家用车、汽车配件</w:t>
      </w:r>
      <w:r>
        <w:rPr>
          <w:rFonts w:hint="eastAsia"/>
        </w:rPr>
        <w:tab/>
      </w:r>
      <w:r>
        <w:rPr>
          <w:rFonts w:hint="eastAsia"/>
        </w:rPr>
        <w:t>东风汽车设备、东安发动机、徐工、三一重工、宇通客车、西安康明斯、柳州五菱、江铃改装车、中联重科、中彰国际、卡特彼勒、江苏海沃（环保车）、中联重科、鹏翎胶管、庞大汽车集团、新宏昌重工集团、奇瑞汽车、亚之杰汽贸、北京福田、上海双林集团、意昂神州、斗山山猫、中兴智能汽车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军工企业</w:t>
      </w:r>
      <w:r>
        <w:rPr>
          <w:rFonts w:hint="eastAsia"/>
        </w:rPr>
        <w:tab/>
      </w:r>
      <w:r>
        <w:rPr>
          <w:rFonts w:hint="eastAsia"/>
        </w:rPr>
        <w:t>兵器集团</w:t>
      </w:r>
      <w:r>
        <w:rPr>
          <w:rFonts w:hint="eastAsia"/>
        </w:rPr>
        <w:t>43</w:t>
      </w:r>
      <w:r>
        <w:rPr>
          <w:rFonts w:hint="eastAsia"/>
        </w:rPr>
        <w:t>所、总参</w:t>
      </w:r>
      <w:r>
        <w:rPr>
          <w:rFonts w:hint="eastAsia"/>
        </w:rPr>
        <w:t>56</w:t>
      </w:r>
      <w:r>
        <w:rPr>
          <w:rFonts w:hint="eastAsia"/>
        </w:rPr>
        <w:t>所、南方航空发动机（已并入中国航空发动机）、西安</w:t>
      </w:r>
      <w:r>
        <w:rPr>
          <w:rFonts w:hint="eastAsia"/>
        </w:rPr>
        <w:t>16</w:t>
      </w:r>
      <w:r>
        <w:rPr>
          <w:rFonts w:hint="eastAsia"/>
        </w:rPr>
        <w:t>所、</w:t>
      </w:r>
      <w:r>
        <w:rPr>
          <w:rFonts w:hint="eastAsia"/>
        </w:rPr>
        <w:t>213</w:t>
      </w:r>
      <w:r>
        <w:rPr>
          <w:rFonts w:hint="eastAsia"/>
        </w:rPr>
        <w:t>所、航天精工、新兴东方、中国电子集团</w:t>
      </w:r>
      <w:r>
        <w:rPr>
          <w:rFonts w:hint="eastAsia"/>
        </w:rPr>
        <w:t>36</w:t>
      </w:r>
      <w:r>
        <w:rPr>
          <w:rFonts w:hint="eastAsia"/>
        </w:rPr>
        <w:t>所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设计院、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第三方机构</w:t>
      </w:r>
      <w:r>
        <w:rPr>
          <w:rFonts w:hint="eastAsia"/>
        </w:rPr>
        <w:tab/>
      </w:r>
      <w:r>
        <w:rPr>
          <w:rFonts w:hint="eastAsia"/>
        </w:rPr>
        <w:t>中南设计院、中国联合工程公司、巅峰智业、安徽省交通规划设计院、中国商业联合会、北京工程咨询公司、中认倍佳（</w:t>
      </w:r>
      <w:r>
        <w:rPr>
          <w:rFonts w:hint="eastAsia"/>
        </w:rPr>
        <w:t>3C</w:t>
      </w:r>
      <w:r>
        <w:rPr>
          <w:rFonts w:hint="eastAsia"/>
        </w:rPr>
        <w:t>检测）、江苏中民金服、北京电信规划设计院、北京华宇恒通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建筑、建材</w:t>
      </w:r>
      <w:r>
        <w:rPr>
          <w:rFonts w:hint="eastAsia"/>
        </w:rPr>
        <w:tab/>
      </w:r>
      <w:r>
        <w:rPr>
          <w:rFonts w:hint="eastAsia"/>
        </w:rPr>
        <w:t>碧桂园、中天建设、中建七局、东方雨虹、蜀羊防水、北新、盛德宝罗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生物科技、医疗器械</w:t>
      </w:r>
      <w:r>
        <w:rPr>
          <w:rFonts w:hint="eastAsia"/>
        </w:rPr>
        <w:tab/>
      </w:r>
      <w:r>
        <w:rPr>
          <w:rFonts w:hint="eastAsia"/>
        </w:rPr>
        <w:t>中国科学器材公司（中国医药集团）、中源协和（和泽生物基因）、广州金域检验、茂健联星生物、勤邦生物、河南牧翔动物药业、毅新兴业、上海威士达、北京怡和嘉业、北京天智航、北京伏尔特、广州维力医疗器械</w:t>
      </w:r>
    </w:p>
    <w:p w:rsidR="000E418B" w:rsidRDefault="000E418B" w:rsidP="000E418B">
      <w:pPr>
        <w:spacing w:after="0"/>
        <w:rPr>
          <w:rFonts w:hint="eastAsia"/>
        </w:rPr>
      </w:pPr>
      <w:r>
        <w:rPr>
          <w:rFonts w:hint="eastAsia"/>
        </w:rPr>
        <w:t>其他</w:t>
      </w:r>
      <w:r>
        <w:rPr>
          <w:rFonts w:hint="eastAsia"/>
        </w:rPr>
        <w:tab/>
      </w:r>
      <w:r>
        <w:rPr>
          <w:rFonts w:hint="eastAsia"/>
        </w:rPr>
        <w:t>农家福集团、大北农、正正饲料、屯玉种业、秋乐种业、大连海晏堂、北京一轻集团、绍兴会稽山酒业、苏宁电器、罗马世家、法派服装、上海钜勋、青竹美术颜料、幸福人寿、英大人寿、中福集团、中铁现代物流、天津卷烟厂、盐业集团、佛山地质局、成都印钞厂、智美体育、宜春邮政局</w:t>
      </w:r>
    </w:p>
    <w:p w:rsidR="00E47F3B" w:rsidRDefault="00E47F3B" w:rsidP="0033303F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EB" w:rsidRDefault="009702EB" w:rsidP="00037618">
      <w:pPr>
        <w:spacing w:after="0"/>
      </w:pPr>
      <w:r>
        <w:separator/>
      </w:r>
    </w:p>
  </w:endnote>
  <w:endnote w:type="continuationSeparator" w:id="0">
    <w:p w:rsidR="009702EB" w:rsidRDefault="009702EB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EB" w:rsidRDefault="009702EB" w:rsidP="00037618">
      <w:pPr>
        <w:spacing w:after="0"/>
      </w:pPr>
      <w:r>
        <w:separator/>
      </w:r>
    </w:p>
  </w:footnote>
  <w:footnote w:type="continuationSeparator" w:id="0">
    <w:p w:rsidR="009702EB" w:rsidRDefault="009702EB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6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3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FFA3F-F2DD-4E25-91CF-36541FEB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220</cp:revision>
  <dcterms:created xsi:type="dcterms:W3CDTF">2008-09-11T17:20:00Z</dcterms:created>
  <dcterms:modified xsi:type="dcterms:W3CDTF">2024-03-25T15:40:00Z</dcterms:modified>
</cp:coreProperties>
</file>